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DD04" w14:textId="77777777" w:rsidR="00C02FB3" w:rsidRPr="003B5800" w:rsidRDefault="00C02FB3" w:rsidP="003B5800">
      <w:pPr>
        <w:pStyle w:val="Heading2"/>
        <w:jc w:val="left"/>
        <w:rPr>
          <w:rFonts w:ascii="Arial" w:hAnsi="Arial" w:cs="Arial"/>
          <w:spacing w:val="-2"/>
        </w:rPr>
      </w:pPr>
      <w:r w:rsidRPr="003B5800">
        <w:rPr>
          <w:rFonts w:ascii="Arial" w:hAnsi="Arial" w:cs="Arial"/>
          <w:spacing w:val="-2"/>
        </w:rPr>
        <w:t>THE ROLE AND REMIT OF THE SCOTTISH AND UK PARLIAMENTS</w:t>
      </w:r>
    </w:p>
    <w:p w14:paraId="36C8D984" w14:textId="77777777" w:rsidR="00C02FB3" w:rsidRPr="003B5800" w:rsidRDefault="00C02FB3" w:rsidP="003B5800">
      <w:pPr>
        <w:pStyle w:val="Heading2"/>
        <w:jc w:val="left"/>
        <w:rPr>
          <w:rFonts w:ascii="Arial" w:hAnsi="Arial" w:cs="Arial"/>
          <w:spacing w:val="-2"/>
        </w:rPr>
      </w:pPr>
    </w:p>
    <w:p w14:paraId="524D687B" w14:textId="77777777" w:rsidR="00C02FB3" w:rsidRPr="003B5800" w:rsidRDefault="00C02FB3" w:rsidP="003B5800">
      <w:pPr>
        <w:pStyle w:val="Heading2"/>
        <w:jc w:val="left"/>
        <w:rPr>
          <w:rFonts w:ascii="Arial" w:hAnsi="Arial" w:cs="Arial"/>
        </w:rPr>
      </w:pPr>
      <w:r w:rsidRPr="003B5800">
        <w:rPr>
          <w:rFonts w:ascii="Arial" w:hAnsi="Arial" w:cs="Arial"/>
          <w:spacing w:val="-2"/>
        </w:rPr>
        <w:t>Background</w:t>
      </w:r>
    </w:p>
    <w:p w14:paraId="7EAE141E" w14:textId="77777777" w:rsidR="00C02FB3" w:rsidRPr="003B5800" w:rsidRDefault="00C02FB3" w:rsidP="003B5800">
      <w:pPr>
        <w:pStyle w:val="BodyText"/>
        <w:spacing w:before="1"/>
        <w:rPr>
          <w:rFonts w:ascii="Arial" w:hAnsi="Arial" w:cs="Arial"/>
          <w:b/>
        </w:rPr>
      </w:pPr>
    </w:p>
    <w:p w14:paraId="7746B024" w14:textId="77777777" w:rsidR="00C02FB3" w:rsidRPr="003B5800" w:rsidRDefault="00C02FB3" w:rsidP="003B5800">
      <w:pPr>
        <w:pStyle w:val="BodyText"/>
        <w:ind w:left="471" w:right="1184"/>
        <w:rPr>
          <w:rFonts w:ascii="Arial" w:hAnsi="Arial" w:cs="Arial"/>
        </w:rPr>
      </w:pPr>
      <w:r w:rsidRPr="003B5800">
        <w:rPr>
          <w:rFonts w:ascii="Arial" w:hAnsi="Arial" w:cs="Arial"/>
        </w:rPr>
        <w:t>The</w:t>
      </w:r>
      <w:r w:rsidRPr="003B5800">
        <w:rPr>
          <w:rFonts w:ascii="Arial" w:hAnsi="Arial" w:cs="Arial"/>
          <w:spacing w:val="-1"/>
        </w:rPr>
        <w:t xml:space="preserve"> </w:t>
      </w:r>
      <w:r w:rsidRPr="003B5800">
        <w:rPr>
          <w:rFonts w:ascii="Arial" w:hAnsi="Arial" w:cs="Arial"/>
        </w:rPr>
        <w:t>Model</w:t>
      </w:r>
      <w:r w:rsidRPr="003B5800">
        <w:rPr>
          <w:rFonts w:ascii="Arial" w:hAnsi="Arial" w:cs="Arial"/>
          <w:spacing w:val="-1"/>
        </w:rPr>
        <w:t xml:space="preserve"> </w:t>
      </w:r>
      <w:r w:rsidRPr="003B5800">
        <w:rPr>
          <w:rFonts w:ascii="Arial" w:hAnsi="Arial" w:cs="Arial"/>
        </w:rPr>
        <w:t>Scheme</w:t>
      </w:r>
      <w:r w:rsidRPr="003B5800">
        <w:rPr>
          <w:rFonts w:ascii="Arial" w:hAnsi="Arial" w:cs="Arial"/>
          <w:spacing w:val="-1"/>
        </w:rPr>
        <w:t xml:space="preserve"> </w:t>
      </w:r>
      <w:r w:rsidRPr="003B5800">
        <w:rPr>
          <w:rFonts w:ascii="Arial" w:hAnsi="Arial" w:cs="Arial"/>
        </w:rPr>
        <w:t>for</w:t>
      </w:r>
      <w:r w:rsidRPr="003B5800">
        <w:rPr>
          <w:rFonts w:ascii="Arial" w:hAnsi="Arial" w:cs="Arial"/>
          <w:spacing w:val="-1"/>
        </w:rPr>
        <w:t xml:space="preserve"> </w:t>
      </w:r>
      <w:r w:rsidRPr="003B5800">
        <w:rPr>
          <w:rFonts w:ascii="Arial" w:hAnsi="Arial" w:cs="Arial"/>
        </w:rPr>
        <w:t>the</w:t>
      </w:r>
      <w:r w:rsidRPr="003B5800">
        <w:rPr>
          <w:rFonts w:ascii="Arial" w:hAnsi="Arial" w:cs="Arial"/>
          <w:spacing w:val="-1"/>
        </w:rPr>
        <w:t xml:space="preserve"> </w:t>
      </w:r>
      <w:r w:rsidRPr="003B5800">
        <w:rPr>
          <w:rFonts w:ascii="Arial" w:hAnsi="Arial" w:cs="Arial"/>
        </w:rPr>
        <w:t>Establishment</w:t>
      </w:r>
      <w:r w:rsidRPr="003B5800">
        <w:rPr>
          <w:rFonts w:ascii="Arial" w:hAnsi="Arial" w:cs="Arial"/>
          <w:spacing w:val="-2"/>
        </w:rPr>
        <w:t xml:space="preserve"> </w:t>
      </w:r>
      <w:r w:rsidRPr="003B5800">
        <w:rPr>
          <w:rFonts w:ascii="Arial" w:hAnsi="Arial" w:cs="Arial"/>
        </w:rPr>
        <w:t>of</w:t>
      </w:r>
      <w:r w:rsidRPr="003B5800">
        <w:rPr>
          <w:rFonts w:ascii="Arial" w:hAnsi="Arial" w:cs="Arial"/>
          <w:spacing w:val="-1"/>
        </w:rPr>
        <w:t xml:space="preserve"> </w:t>
      </w:r>
      <w:r w:rsidRPr="003B5800">
        <w:rPr>
          <w:rFonts w:ascii="Arial" w:hAnsi="Arial" w:cs="Arial"/>
        </w:rPr>
        <w:t>Community Councils</w:t>
      </w:r>
      <w:r w:rsidRPr="003B5800">
        <w:rPr>
          <w:rFonts w:ascii="Arial" w:hAnsi="Arial" w:cs="Arial"/>
          <w:spacing w:val="-1"/>
        </w:rPr>
        <w:t xml:space="preserve"> </w:t>
      </w:r>
      <w:r w:rsidRPr="003B5800">
        <w:rPr>
          <w:rFonts w:ascii="Arial" w:hAnsi="Arial" w:cs="Arial"/>
        </w:rPr>
        <w:t>specifies</w:t>
      </w:r>
      <w:r w:rsidRPr="003B5800">
        <w:rPr>
          <w:rFonts w:ascii="Arial" w:hAnsi="Arial" w:cs="Arial"/>
          <w:spacing w:val="-1"/>
        </w:rPr>
        <w:t xml:space="preserve"> </w:t>
      </w:r>
      <w:r w:rsidRPr="003B5800">
        <w:rPr>
          <w:rFonts w:ascii="Arial" w:hAnsi="Arial" w:cs="Arial"/>
        </w:rPr>
        <w:t xml:space="preserve">that Members of the Scottish and UK Parliaments are </w:t>
      </w:r>
      <w:r w:rsidRPr="003B5800">
        <w:rPr>
          <w:rFonts w:ascii="Arial" w:hAnsi="Arial" w:cs="Arial"/>
          <w:i/>
        </w:rPr>
        <w:t xml:space="preserve">ex-officio* </w:t>
      </w:r>
      <w:r w:rsidRPr="003B5800">
        <w:rPr>
          <w:rFonts w:ascii="Arial" w:hAnsi="Arial" w:cs="Arial"/>
        </w:rPr>
        <w:t>members of Community Councils within their constituency or region. Below is an outline of the roles and powers of the various Parliaments.</w:t>
      </w:r>
    </w:p>
    <w:p w14:paraId="6DE04EFC" w14:textId="77777777" w:rsidR="00C02FB3" w:rsidRPr="003B5800" w:rsidRDefault="00C02FB3" w:rsidP="003B5800">
      <w:pPr>
        <w:pStyle w:val="BodyText"/>
        <w:spacing w:before="12"/>
        <w:rPr>
          <w:rFonts w:ascii="Arial" w:hAnsi="Arial" w:cs="Arial"/>
        </w:rPr>
      </w:pPr>
    </w:p>
    <w:p w14:paraId="514307C4" w14:textId="77777777" w:rsidR="00C02FB3" w:rsidRPr="003B5800" w:rsidRDefault="00C02FB3" w:rsidP="003B5800">
      <w:pPr>
        <w:ind w:left="471" w:right="1186"/>
        <w:rPr>
          <w:rFonts w:ascii="Arial" w:hAnsi="Arial" w:cs="Arial"/>
          <w:i/>
          <w:sz w:val="24"/>
          <w:szCs w:val="24"/>
        </w:rPr>
      </w:pPr>
      <w:r w:rsidRPr="003B5800">
        <w:rPr>
          <w:rFonts w:ascii="Arial" w:hAnsi="Arial" w:cs="Arial"/>
          <w:i/>
          <w:sz w:val="24"/>
          <w:szCs w:val="24"/>
        </w:rPr>
        <w:t>* Member generally taken to be a person, who, by virtue of an office or position held, is officially attached to a committee as a non-voting member</w:t>
      </w:r>
    </w:p>
    <w:p w14:paraId="138DCB8A" w14:textId="77777777" w:rsidR="00C02FB3" w:rsidRPr="003B5800" w:rsidRDefault="00C02FB3" w:rsidP="003B5800">
      <w:pPr>
        <w:pStyle w:val="BodyText"/>
        <w:spacing w:before="1"/>
        <w:rPr>
          <w:rFonts w:ascii="Arial" w:hAnsi="Arial" w:cs="Arial"/>
          <w:i/>
        </w:rPr>
      </w:pPr>
    </w:p>
    <w:p w14:paraId="41C61EBC" w14:textId="77777777" w:rsidR="00C02FB3" w:rsidRPr="003B5800" w:rsidRDefault="00C02FB3" w:rsidP="003B5800">
      <w:pPr>
        <w:pStyle w:val="Heading2"/>
        <w:jc w:val="left"/>
        <w:rPr>
          <w:rFonts w:ascii="Arial" w:hAnsi="Arial" w:cs="Arial"/>
        </w:rPr>
      </w:pPr>
      <w:r w:rsidRPr="003B5800">
        <w:rPr>
          <w:rFonts w:ascii="Arial" w:hAnsi="Arial" w:cs="Arial"/>
        </w:rPr>
        <w:t>The</w:t>
      </w:r>
      <w:r w:rsidRPr="003B5800">
        <w:rPr>
          <w:rFonts w:ascii="Arial" w:hAnsi="Arial" w:cs="Arial"/>
          <w:spacing w:val="-10"/>
        </w:rPr>
        <w:t xml:space="preserve"> </w:t>
      </w:r>
      <w:r w:rsidRPr="003B5800">
        <w:rPr>
          <w:rFonts w:ascii="Arial" w:hAnsi="Arial" w:cs="Arial"/>
        </w:rPr>
        <w:t>Scottish</w:t>
      </w:r>
      <w:r w:rsidRPr="003B5800">
        <w:rPr>
          <w:rFonts w:ascii="Arial" w:hAnsi="Arial" w:cs="Arial"/>
          <w:spacing w:val="-9"/>
        </w:rPr>
        <w:t xml:space="preserve"> </w:t>
      </w:r>
      <w:r w:rsidRPr="003B5800">
        <w:rPr>
          <w:rFonts w:ascii="Arial" w:hAnsi="Arial" w:cs="Arial"/>
          <w:spacing w:val="-2"/>
        </w:rPr>
        <w:t>Parliament</w:t>
      </w:r>
    </w:p>
    <w:p w14:paraId="6895F593" w14:textId="77777777" w:rsidR="00C02FB3" w:rsidRPr="003B5800" w:rsidRDefault="00C02FB3" w:rsidP="003B5800">
      <w:pPr>
        <w:pStyle w:val="BodyText"/>
        <w:rPr>
          <w:rFonts w:ascii="Arial" w:hAnsi="Arial" w:cs="Arial"/>
          <w:b/>
        </w:rPr>
      </w:pPr>
    </w:p>
    <w:p w14:paraId="5BFAFC17" w14:textId="77777777" w:rsidR="00C02FB3" w:rsidRPr="003B5800" w:rsidRDefault="00C02FB3" w:rsidP="003B5800">
      <w:pPr>
        <w:pStyle w:val="BodyText"/>
        <w:tabs>
          <w:tab w:val="left" w:pos="2110"/>
          <w:tab w:val="left" w:pos="3479"/>
          <w:tab w:val="left" w:pos="4720"/>
          <w:tab w:val="left" w:pos="6508"/>
          <w:tab w:val="left" w:pos="7695"/>
          <w:tab w:val="left" w:pos="9081"/>
        </w:tabs>
        <w:ind w:left="471" w:right="1185"/>
        <w:rPr>
          <w:rFonts w:ascii="Arial" w:hAnsi="Arial" w:cs="Arial"/>
        </w:rPr>
      </w:pPr>
      <w:r w:rsidRPr="003B5800">
        <w:rPr>
          <w:rFonts w:ascii="Arial" w:hAnsi="Arial" w:cs="Arial"/>
        </w:rPr>
        <w:t xml:space="preserve">Scotland, </w:t>
      </w:r>
      <w:proofErr w:type="gramStart"/>
      <w:r w:rsidRPr="003B5800">
        <w:rPr>
          <w:rFonts w:ascii="Arial" w:hAnsi="Arial" w:cs="Arial"/>
        </w:rPr>
        <w:t>Wales</w:t>
      </w:r>
      <w:proofErr w:type="gramEnd"/>
      <w:r w:rsidRPr="003B5800">
        <w:rPr>
          <w:rFonts w:ascii="Arial" w:hAnsi="Arial" w:cs="Arial"/>
        </w:rPr>
        <w:t xml:space="preserve"> and Northern Ireland all held successful referendums on devolution in the late 1990s. In Scotland’s case, this led to the establishment of a separate Parliament following the passing of the </w:t>
      </w:r>
      <w:hyperlink r:id="rId5" w:history="1">
        <w:r w:rsidRPr="003B5800">
          <w:rPr>
            <w:rStyle w:val="Hyperlink"/>
            <w:rFonts w:ascii="Arial" w:hAnsi="Arial" w:cs="Arial"/>
          </w:rPr>
          <w:t>Scotland Act 1998</w:t>
        </w:r>
      </w:hyperlink>
      <w:r w:rsidRPr="003B5800">
        <w:rPr>
          <w:rFonts w:ascii="Arial" w:hAnsi="Arial" w:cs="Arial"/>
        </w:rPr>
        <w:t>. The Scottish Parliament took responsibility for its devolved powers on 1 July 1999.</w:t>
      </w:r>
    </w:p>
    <w:p w14:paraId="46A5E994" w14:textId="77777777" w:rsidR="00C02FB3" w:rsidRPr="003B5800" w:rsidRDefault="00C02FB3" w:rsidP="003B5800">
      <w:pPr>
        <w:pStyle w:val="BodyText"/>
        <w:spacing w:before="1"/>
        <w:rPr>
          <w:rFonts w:ascii="Arial" w:hAnsi="Arial" w:cs="Arial"/>
        </w:rPr>
      </w:pPr>
    </w:p>
    <w:p w14:paraId="65FEA9D5" w14:textId="77777777" w:rsidR="00C02FB3" w:rsidRPr="003B5800" w:rsidRDefault="00C02FB3" w:rsidP="003B5800">
      <w:pPr>
        <w:pStyle w:val="Heading2"/>
        <w:jc w:val="left"/>
        <w:rPr>
          <w:rFonts w:ascii="Arial" w:hAnsi="Arial" w:cs="Arial"/>
        </w:rPr>
      </w:pPr>
      <w:r w:rsidRPr="003B5800">
        <w:rPr>
          <w:rFonts w:ascii="Arial" w:hAnsi="Arial" w:cs="Arial"/>
        </w:rPr>
        <w:t>Devolved</w:t>
      </w:r>
      <w:r w:rsidRPr="003B5800">
        <w:rPr>
          <w:rFonts w:ascii="Arial" w:hAnsi="Arial" w:cs="Arial"/>
          <w:spacing w:val="-17"/>
        </w:rPr>
        <w:t xml:space="preserve"> </w:t>
      </w:r>
      <w:r w:rsidRPr="003B5800">
        <w:rPr>
          <w:rFonts w:ascii="Arial" w:hAnsi="Arial" w:cs="Arial"/>
        </w:rPr>
        <w:t>and</w:t>
      </w:r>
      <w:r w:rsidRPr="003B5800">
        <w:rPr>
          <w:rFonts w:ascii="Arial" w:hAnsi="Arial" w:cs="Arial"/>
          <w:spacing w:val="-15"/>
        </w:rPr>
        <w:t xml:space="preserve"> </w:t>
      </w:r>
      <w:r w:rsidRPr="003B5800">
        <w:rPr>
          <w:rFonts w:ascii="Arial" w:hAnsi="Arial" w:cs="Arial"/>
        </w:rPr>
        <w:t>reserved</w:t>
      </w:r>
      <w:r w:rsidRPr="003B5800">
        <w:rPr>
          <w:rFonts w:ascii="Arial" w:hAnsi="Arial" w:cs="Arial"/>
          <w:spacing w:val="-16"/>
        </w:rPr>
        <w:t xml:space="preserve"> </w:t>
      </w:r>
      <w:r w:rsidRPr="003B5800">
        <w:rPr>
          <w:rFonts w:ascii="Arial" w:hAnsi="Arial" w:cs="Arial"/>
          <w:spacing w:val="-2"/>
        </w:rPr>
        <w:t>powers</w:t>
      </w:r>
    </w:p>
    <w:p w14:paraId="75C62CC3" w14:textId="77777777" w:rsidR="00C02FB3" w:rsidRPr="003B5800" w:rsidRDefault="00C02FB3" w:rsidP="003B5800">
      <w:pPr>
        <w:pStyle w:val="BodyText"/>
        <w:rPr>
          <w:rFonts w:ascii="Arial" w:hAnsi="Arial" w:cs="Arial"/>
          <w:b/>
        </w:rPr>
      </w:pPr>
    </w:p>
    <w:p w14:paraId="4EB0339E" w14:textId="77777777" w:rsidR="00C02FB3" w:rsidRPr="003B5800" w:rsidRDefault="00C02FB3" w:rsidP="003B5800">
      <w:pPr>
        <w:pStyle w:val="BodyText"/>
        <w:ind w:left="471" w:right="1184"/>
        <w:rPr>
          <w:rFonts w:ascii="Arial" w:hAnsi="Arial" w:cs="Arial"/>
        </w:rPr>
      </w:pPr>
      <w:r w:rsidRPr="003B5800">
        <w:rPr>
          <w:rFonts w:ascii="Arial" w:hAnsi="Arial" w:cs="Arial"/>
        </w:rPr>
        <w:t>Devolved</w:t>
      </w:r>
      <w:r w:rsidRPr="003B5800">
        <w:rPr>
          <w:rFonts w:ascii="Arial" w:hAnsi="Arial" w:cs="Arial"/>
          <w:spacing w:val="-1"/>
        </w:rPr>
        <w:t xml:space="preserve"> </w:t>
      </w:r>
      <w:r w:rsidRPr="003B5800">
        <w:rPr>
          <w:rFonts w:ascii="Arial" w:hAnsi="Arial" w:cs="Arial"/>
        </w:rPr>
        <w:t>powers</w:t>
      </w:r>
      <w:r w:rsidRPr="003B5800">
        <w:rPr>
          <w:rFonts w:ascii="Arial" w:hAnsi="Arial" w:cs="Arial"/>
          <w:spacing w:val="-1"/>
        </w:rPr>
        <w:t xml:space="preserve"> relate to policy areas which are under the remit of the </w:t>
      </w:r>
      <w:r w:rsidRPr="003B5800">
        <w:rPr>
          <w:rFonts w:ascii="Arial" w:hAnsi="Arial" w:cs="Arial"/>
        </w:rPr>
        <w:t xml:space="preserve">Scottish Parliament, such as education and health. Reserved powers are those decisions that remain with the UK Parliament in Westminster. Which powers are </w:t>
      </w:r>
      <w:proofErr w:type="gramStart"/>
      <w:r w:rsidRPr="003B5800">
        <w:rPr>
          <w:rFonts w:ascii="Arial" w:hAnsi="Arial" w:cs="Arial"/>
        </w:rPr>
        <w:t>devolved</w:t>
      </w:r>
      <w:proofErr w:type="gramEnd"/>
      <w:r w:rsidRPr="003B5800">
        <w:rPr>
          <w:rFonts w:ascii="Arial" w:hAnsi="Arial" w:cs="Arial"/>
        </w:rPr>
        <w:t xml:space="preserve"> and which are reserved are determined by legislation. The </w:t>
      </w:r>
      <w:hyperlink r:id="rId6" w:history="1">
        <w:r w:rsidRPr="003B5800">
          <w:rPr>
            <w:rStyle w:val="Hyperlink"/>
            <w:rFonts w:ascii="Arial" w:hAnsi="Arial" w:cs="Arial"/>
          </w:rPr>
          <w:t>Scotland Act 2016</w:t>
        </w:r>
      </w:hyperlink>
      <w:r w:rsidRPr="003B5800">
        <w:rPr>
          <w:rFonts w:ascii="Arial" w:hAnsi="Arial" w:cs="Arial"/>
        </w:rPr>
        <w:t xml:space="preserve"> devolved a range of further powers to the Scottish Parliament, including Income Tax, control over some existing benefits and the ability to create new welfare payments. </w:t>
      </w:r>
    </w:p>
    <w:p w14:paraId="58B91B20" w14:textId="77777777" w:rsidR="00C02FB3" w:rsidRPr="003B5800" w:rsidRDefault="00C02FB3" w:rsidP="003B5800">
      <w:pPr>
        <w:pStyle w:val="BodyText"/>
        <w:rPr>
          <w:rFonts w:ascii="Arial" w:hAnsi="Arial" w:cs="Arial"/>
        </w:rPr>
      </w:pPr>
    </w:p>
    <w:p w14:paraId="50527596" w14:textId="77777777" w:rsidR="00C02FB3" w:rsidRPr="003B5800" w:rsidRDefault="00C02FB3" w:rsidP="003B5800">
      <w:pPr>
        <w:pStyle w:val="Heading2"/>
        <w:spacing w:before="1"/>
        <w:jc w:val="left"/>
        <w:rPr>
          <w:rFonts w:ascii="Arial" w:hAnsi="Arial" w:cs="Arial"/>
        </w:rPr>
      </w:pPr>
      <w:r w:rsidRPr="003B5800">
        <w:rPr>
          <w:rFonts w:ascii="Arial" w:hAnsi="Arial" w:cs="Arial"/>
        </w:rPr>
        <w:t>Scottish Parliament – devolved powers</w:t>
      </w:r>
    </w:p>
    <w:p w14:paraId="0675E8F7" w14:textId="77777777" w:rsidR="00C02FB3" w:rsidRPr="003B5800" w:rsidRDefault="00C02FB3" w:rsidP="003B5800">
      <w:pPr>
        <w:pStyle w:val="BodyText"/>
        <w:spacing w:before="1"/>
        <w:rPr>
          <w:rFonts w:ascii="Arial" w:hAnsi="Arial" w:cs="Arial"/>
          <w:b/>
        </w:rPr>
      </w:pPr>
    </w:p>
    <w:p w14:paraId="74770DAA" w14:textId="77777777" w:rsidR="00C02FB3" w:rsidRPr="003B5800" w:rsidRDefault="00C02FB3" w:rsidP="003B5800">
      <w:pPr>
        <w:pStyle w:val="BodyText"/>
        <w:ind w:left="471" w:right="1184"/>
        <w:rPr>
          <w:rFonts w:ascii="Arial" w:hAnsi="Arial" w:cs="Arial"/>
        </w:rPr>
      </w:pPr>
      <w:r w:rsidRPr="003B5800">
        <w:rPr>
          <w:rFonts w:ascii="Arial" w:hAnsi="Arial" w:cs="Arial"/>
        </w:rPr>
        <w:t>The role of the Scottish Parliament is to make laws in relation to devolved matters in Scotland. All matters that are not specifically reserved are devolved. Devolved matters over which the Scottish Parliament has legislative power include:</w:t>
      </w:r>
    </w:p>
    <w:p w14:paraId="16542CF8" w14:textId="77777777" w:rsidR="00C02FB3" w:rsidRPr="003B5800" w:rsidRDefault="00C02FB3" w:rsidP="003B5800">
      <w:pPr>
        <w:pStyle w:val="BodyText"/>
        <w:ind w:left="471" w:right="1184"/>
        <w:rPr>
          <w:rFonts w:ascii="Arial" w:hAnsi="Arial" w:cs="Arial"/>
        </w:rPr>
      </w:pPr>
    </w:p>
    <w:p w14:paraId="364DE376" w14:textId="77777777" w:rsidR="00C02FB3" w:rsidRPr="003B5800" w:rsidRDefault="00C02FB3" w:rsidP="003B5800">
      <w:pPr>
        <w:pStyle w:val="Heading2"/>
        <w:numPr>
          <w:ilvl w:val="0"/>
          <w:numId w:val="2"/>
        </w:numPr>
        <w:tabs>
          <w:tab w:val="num" w:pos="360"/>
        </w:tabs>
        <w:spacing w:before="81"/>
        <w:ind w:left="471" w:firstLine="0"/>
        <w:jc w:val="left"/>
        <w:rPr>
          <w:rFonts w:ascii="Arial" w:hAnsi="Arial" w:cs="Arial"/>
          <w:b w:val="0"/>
        </w:rPr>
      </w:pPr>
      <w:r w:rsidRPr="003B5800">
        <w:rPr>
          <w:rFonts w:ascii="Arial" w:hAnsi="Arial" w:cs="Arial"/>
          <w:b w:val="0"/>
          <w:spacing w:val="-2"/>
        </w:rPr>
        <w:t>Health</w:t>
      </w:r>
    </w:p>
    <w:p w14:paraId="651BF6A3" w14:textId="77777777" w:rsidR="00C02FB3" w:rsidRPr="003B5800" w:rsidRDefault="00C02FB3" w:rsidP="003B5800">
      <w:pPr>
        <w:pStyle w:val="BodyText"/>
        <w:spacing w:before="10"/>
        <w:rPr>
          <w:rFonts w:ascii="Arial" w:hAnsi="Arial" w:cs="Arial"/>
        </w:rPr>
      </w:pPr>
    </w:p>
    <w:p w14:paraId="7CD1C412" w14:textId="77777777" w:rsidR="00C02FB3" w:rsidRPr="003B5800" w:rsidRDefault="00C02FB3" w:rsidP="003B5800">
      <w:pPr>
        <w:pStyle w:val="Heading2"/>
        <w:numPr>
          <w:ilvl w:val="0"/>
          <w:numId w:val="2"/>
        </w:numPr>
        <w:tabs>
          <w:tab w:val="num" w:pos="360"/>
        </w:tabs>
        <w:spacing w:before="12"/>
        <w:ind w:left="471" w:firstLine="0"/>
        <w:jc w:val="left"/>
        <w:rPr>
          <w:rFonts w:ascii="Arial" w:hAnsi="Arial" w:cs="Arial"/>
          <w:b w:val="0"/>
        </w:rPr>
      </w:pPr>
      <w:r w:rsidRPr="003B5800">
        <w:rPr>
          <w:rFonts w:ascii="Arial" w:hAnsi="Arial" w:cs="Arial"/>
          <w:b w:val="0"/>
        </w:rPr>
        <w:t>Education</w:t>
      </w:r>
      <w:r w:rsidRPr="003B5800">
        <w:rPr>
          <w:rFonts w:ascii="Arial" w:hAnsi="Arial" w:cs="Arial"/>
          <w:b w:val="0"/>
          <w:spacing w:val="-16"/>
        </w:rPr>
        <w:t xml:space="preserve"> </w:t>
      </w:r>
      <w:r w:rsidRPr="003B5800">
        <w:rPr>
          <w:rFonts w:ascii="Arial" w:hAnsi="Arial" w:cs="Arial"/>
          <w:b w:val="0"/>
        </w:rPr>
        <w:t>and</w:t>
      </w:r>
      <w:r w:rsidRPr="003B5800">
        <w:rPr>
          <w:rFonts w:ascii="Arial" w:hAnsi="Arial" w:cs="Arial"/>
          <w:b w:val="0"/>
          <w:spacing w:val="-15"/>
        </w:rPr>
        <w:t xml:space="preserve"> </w:t>
      </w:r>
      <w:r w:rsidRPr="003B5800">
        <w:rPr>
          <w:rFonts w:ascii="Arial" w:hAnsi="Arial" w:cs="Arial"/>
          <w:b w:val="0"/>
          <w:spacing w:val="-2"/>
        </w:rPr>
        <w:t>training</w:t>
      </w:r>
    </w:p>
    <w:p w14:paraId="165BE638" w14:textId="77777777" w:rsidR="00C02FB3" w:rsidRPr="003B5800" w:rsidRDefault="00C02FB3" w:rsidP="003B5800">
      <w:pPr>
        <w:pStyle w:val="BodyText"/>
        <w:spacing w:before="11"/>
        <w:rPr>
          <w:rFonts w:ascii="Arial" w:hAnsi="Arial" w:cs="Arial"/>
        </w:rPr>
      </w:pPr>
    </w:p>
    <w:p w14:paraId="5E9BB999" w14:textId="77777777" w:rsidR="00C02FB3" w:rsidRPr="003B5800" w:rsidRDefault="00C02FB3" w:rsidP="003B5800">
      <w:pPr>
        <w:pStyle w:val="Heading2"/>
        <w:numPr>
          <w:ilvl w:val="0"/>
          <w:numId w:val="2"/>
        </w:numPr>
        <w:tabs>
          <w:tab w:val="num" w:pos="360"/>
        </w:tabs>
        <w:spacing w:before="2"/>
        <w:ind w:left="471" w:firstLine="0"/>
        <w:jc w:val="left"/>
        <w:rPr>
          <w:rFonts w:ascii="Arial" w:hAnsi="Arial" w:cs="Arial"/>
          <w:b w:val="0"/>
        </w:rPr>
      </w:pPr>
      <w:r w:rsidRPr="003B5800">
        <w:rPr>
          <w:rFonts w:ascii="Arial" w:hAnsi="Arial" w:cs="Arial"/>
          <w:b w:val="0"/>
        </w:rPr>
        <w:t>Local</w:t>
      </w:r>
      <w:r w:rsidRPr="003B5800">
        <w:rPr>
          <w:rFonts w:ascii="Arial" w:hAnsi="Arial" w:cs="Arial"/>
          <w:b w:val="0"/>
          <w:spacing w:val="-10"/>
        </w:rPr>
        <w:t xml:space="preserve"> </w:t>
      </w:r>
      <w:r w:rsidRPr="003B5800">
        <w:rPr>
          <w:rFonts w:ascii="Arial" w:hAnsi="Arial" w:cs="Arial"/>
          <w:b w:val="0"/>
        </w:rPr>
        <w:t>government,</w:t>
      </w:r>
      <w:r w:rsidRPr="003B5800">
        <w:rPr>
          <w:rFonts w:ascii="Arial" w:hAnsi="Arial" w:cs="Arial"/>
          <w:b w:val="0"/>
          <w:spacing w:val="-10"/>
        </w:rPr>
        <w:t xml:space="preserve"> </w:t>
      </w:r>
      <w:r w:rsidRPr="003B5800">
        <w:rPr>
          <w:rFonts w:ascii="Arial" w:hAnsi="Arial" w:cs="Arial"/>
          <w:b w:val="0"/>
        </w:rPr>
        <w:t>social</w:t>
      </w:r>
      <w:r w:rsidRPr="003B5800">
        <w:rPr>
          <w:rFonts w:ascii="Arial" w:hAnsi="Arial" w:cs="Arial"/>
          <w:b w:val="0"/>
          <w:spacing w:val="-10"/>
        </w:rPr>
        <w:t xml:space="preserve"> </w:t>
      </w:r>
      <w:proofErr w:type="gramStart"/>
      <w:r w:rsidRPr="003B5800">
        <w:rPr>
          <w:rFonts w:ascii="Arial" w:hAnsi="Arial" w:cs="Arial"/>
          <w:b w:val="0"/>
        </w:rPr>
        <w:t>work</w:t>
      </w:r>
      <w:proofErr w:type="gramEnd"/>
      <w:r w:rsidRPr="003B5800">
        <w:rPr>
          <w:rFonts w:ascii="Arial" w:hAnsi="Arial" w:cs="Arial"/>
          <w:b w:val="0"/>
          <w:spacing w:val="-9"/>
        </w:rPr>
        <w:t xml:space="preserve"> </w:t>
      </w:r>
      <w:r w:rsidRPr="003B5800">
        <w:rPr>
          <w:rFonts w:ascii="Arial" w:hAnsi="Arial" w:cs="Arial"/>
          <w:b w:val="0"/>
        </w:rPr>
        <w:t>and</w:t>
      </w:r>
      <w:r w:rsidRPr="003B5800">
        <w:rPr>
          <w:rFonts w:ascii="Arial" w:hAnsi="Arial" w:cs="Arial"/>
          <w:b w:val="0"/>
          <w:spacing w:val="-10"/>
        </w:rPr>
        <w:t xml:space="preserve"> </w:t>
      </w:r>
      <w:r w:rsidRPr="003B5800">
        <w:rPr>
          <w:rFonts w:ascii="Arial" w:hAnsi="Arial" w:cs="Arial"/>
          <w:b w:val="0"/>
          <w:spacing w:val="-2"/>
        </w:rPr>
        <w:t>housing</w:t>
      </w:r>
    </w:p>
    <w:p w14:paraId="172C18D2" w14:textId="77777777" w:rsidR="00C02FB3" w:rsidRPr="003B5800" w:rsidRDefault="00C02FB3" w:rsidP="003B5800">
      <w:pPr>
        <w:pStyle w:val="BodyText"/>
        <w:spacing w:before="11"/>
        <w:rPr>
          <w:rFonts w:ascii="Arial" w:hAnsi="Arial" w:cs="Arial"/>
        </w:rPr>
      </w:pPr>
    </w:p>
    <w:p w14:paraId="11C0FBE5" w14:textId="77777777" w:rsidR="00C02FB3" w:rsidRPr="003B5800" w:rsidRDefault="00C02FB3" w:rsidP="003B5800">
      <w:pPr>
        <w:pStyle w:val="Heading2"/>
        <w:numPr>
          <w:ilvl w:val="0"/>
          <w:numId w:val="2"/>
        </w:numPr>
        <w:tabs>
          <w:tab w:val="num" w:pos="360"/>
        </w:tabs>
        <w:spacing w:before="2"/>
        <w:ind w:left="471" w:firstLine="0"/>
        <w:jc w:val="left"/>
        <w:rPr>
          <w:rFonts w:ascii="Arial" w:hAnsi="Arial" w:cs="Arial"/>
          <w:b w:val="0"/>
        </w:rPr>
      </w:pPr>
      <w:r w:rsidRPr="003B5800">
        <w:rPr>
          <w:rFonts w:ascii="Arial" w:hAnsi="Arial" w:cs="Arial"/>
          <w:b w:val="0"/>
        </w:rPr>
        <w:t>Economic</w:t>
      </w:r>
      <w:r w:rsidRPr="003B5800">
        <w:rPr>
          <w:rFonts w:ascii="Arial" w:hAnsi="Arial" w:cs="Arial"/>
          <w:b w:val="0"/>
          <w:spacing w:val="-20"/>
        </w:rPr>
        <w:t xml:space="preserve"> </w:t>
      </w:r>
      <w:r w:rsidRPr="003B5800">
        <w:rPr>
          <w:rFonts w:ascii="Arial" w:hAnsi="Arial" w:cs="Arial"/>
          <w:b w:val="0"/>
        </w:rPr>
        <w:t>development</w:t>
      </w:r>
      <w:r w:rsidRPr="003B5800">
        <w:rPr>
          <w:rFonts w:ascii="Arial" w:hAnsi="Arial" w:cs="Arial"/>
          <w:b w:val="0"/>
          <w:spacing w:val="-19"/>
        </w:rPr>
        <w:t xml:space="preserve"> </w:t>
      </w:r>
      <w:r w:rsidRPr="003B5800">
        <w:rPr>
          <w:rFonts w:ascii="Arial" w:hAnsi="Arial" w:cs="Arial"/>
          <w:b w:val="0"/>
        </w:rPr>
        <w:t>and</w:t>
      </w:r>
      <w:r w:rsidRPr="003B5800">
        <w:rPr>
          <w:rFonts w:ascii="Arial" w:hAnsi="Arial" w:cs="Arial"/>
          <w:b w:val="0"/>
          <w:spacing w:val="-19"/>
        </w:rPr>
        <w:t xml:space="preserve"> </w:t>
      </w:r>
      <w:r w:rsidRPr="003B5800">
        <w:rPr>
          <w:rFonts w:ascii="Arial" w:hAnsi="Arial" w:cs="Arial"/>
          <w:b w:val="0"/>
          <w:spacing w:val="-2"/>
        </w:rPr>
        <w:t>transport</w:t>
      </w:r>
    </w:p>
    <w:p w14:paraId="338C3E3C" w14:textId="77777777" w:rsidR="00C02FB3" w:rsidRPr="003B5800" w:rsidRDefault="00C02FB3" w:rsidP="003B5800">
      <w:pPr>
        <w:pStyle w:val="BodyText"/>
        <w:spacing w:before="10"/>
        <w:rPr>
          <w:rFonts w:ascii="Arial" w:hAnsi="Arial" w:cs="Arial"/>
        </w:rPr>
      </w:pPr>
    </w:p>
    <w:p w14:paraId="263C468F" w14:textId="77777777" w:rsidR="00C02FB3" w:rsidRPr="003B5800" w:rsidRDefault="00C02FB3" w:rsidP="003B5800">
      <w:pPr>
        <w:pStyle w:val="Heading2"/>
        <w:numPr>
          <w:ilvl w:val="0"/>
          <w:numId w:val="2"/>
        </w:numPr>
        <w:tabs>
          <w:tab w:val="num" w:pos="360"/>
        </w:tabs>
        <w:spacing w:before="1"/>
        <w:ind w:left="471" w:firstLine="0"/>
        <w:jc w:val="left"/>
        <w:rPr>
          <w:rFonts w:ascii="Arial" w:hAnsi="Arial" w:cs="Arial"/>
          <w:b w:val="0"/>
        </w:rPr>
      </w:pPr>
      <w:r w:rsidRPr="003B5800">
        <w:rPr>
          <w:rFonts w:ascii="Arial" w:hAnsi="Arial" w:cs="Arial"/>
          <w:b w:val="0"/>
        </w:rPr>
        <w:t>Law</w:t>
      </w:r>
      <w:r w:rsidRPr="003B5800">
        <w:rPr>
          <w:rFonts w:ascii="Arial" w:hAnsi="Arial" w:cs="Arial"/>
          <w:b w:val="0"/>
          <w:spacing w:val="-6"/>
        </w:rPr>
        <w:t xml:space="preserve"> </w:t>
      </w:r>
      <w:r w:rsidRPr="003B5800">
        <w:rPr>
          <w:rFonts w:ascii="Arial" w:hAnsi="Arial" w:cs="Arial"/>
          <w:b w:val="0"/>
        </w:rPr>
        <w:t>and</w:t>
      </w:r>
      <w:r w:rsidRPr="003B5800">
        <w:rPr>
          <w:rFonts w:ascii="Arial" w:hAnsi="Arial" w:cs="Arial"/>
          <w:b w:val="0"/>
          <w:spacing w:val="-6"/>
        </w:rPr>
        <w:t xml:space="preserve"> </w:t>
      </w:r>
      <w:r w:rsidRPr="003B5800">
        <w:rPr>
          <w:rFonts w:ascii="Arial" w:hAnsi="Arial" w:cs="Arial"/>
          <w:b w:val="0"/>
        </w:rPr>
        <w:t>home</w:t>
      </w:r>
      <w:r w:rsidRPr="003B5800">
        <w:rPr>
          <w:rFonts w:ascii="Arial" w:hAnsi="Arial" w:cs="Arial"/>
          <w:b w:val="0"/>
          <w:spacing w:val="-6"/>
        </w:rPr>
        <w:t xml:space="preserve"> </w:t>
      </w:r>
      <w:r w:rsidRPr="003B5800">
        <w:rPr>
          <w:rFonts w:ascii="Arial" w:hAnsi="Arial" w:cs="Arial"/>
          <w:b w:val="0"/>
          <w:spacing w:val="-2"/>
        </w:rPr>
        <w:t>affairs</w:t>
      </w:r>
    </w:p>
    <w:p w14:paraId="716BAFB7" w14:textId="77777777" w:rsidR="00C02FB3" w:rsidRPr="003B5800" w:rsidRDefault="00C02FB3" w:rsidP="003B5800">
      <w:pPr>
        <w:pStyle w:val="Heading2"/>
        <w:spacing w:before="1"/>
        <w:ind w:left="1191"/>
        <w:jc w:val="left"/>
        <w:rPr>
          <w:rFonts w:ascii="Arial" w:hAnsi="Arial" w:cs="Arial"/>
          <w:b w:val="0"/>
          <w:spacing w:val="-2"/>
        </w:rPr>
      </w:pPr>
    </w:p>
    <w:p w14:paraId="76DE62B0" w14:textId="77777777" w:rsidR="00C42893" w:rsidRPr="003B5800" w:rsidRDefault="00C02FB3" w:rsidP="003B5800">
      <w:pPr>
        <w:pStyle w:val="Heading2"/>
        <w:numPr>
          <w:ilvl w:val="0"/>
          <w:numId w:val="2"/>
        </w:numPr>
        <w:tabs>
          <w:tab w:val="num" w:pos="360"/>
        </w:tabs>
        <w:spacing w:before="2"/>
        <w:ind w:left="471" w:firstLine="0"/>
        <w:jc w:val="left"/>
        <w:rPr>
          <w:rFonts w:ascii="Arial" w:hAnsi="Arial" w:cs="Arial"/>
          <w:b w:val="0"/>
        </w:rPr>
      </w:pPr>
      <w:r w:rsidRPr="003B5800">
        <w:rPr>
          <w:rFonts w:ascii="Arial" w:hAnsi="Arial" w:cs="Arial"/>
          <w:b w:val="0"/>
        </w:rPr>
        <w:t>Income Tax and some welfare powers</w:t>
      </w:r>
    </w:p>
    <w:p w14:paraId="4C7CE3BC" w14:textId="77777777" w:rsidR="00C42893" w:rsidRPr="003B5800" w:rsidRDefault="00C42893" w:rsidP="003B5800">
      <w:pPr>
        <w:pStyle w:val="ListParagraph"/>
        <w:rPr>
          <w:rFonts w:ascii="Arial" w:hAnsi="Arial" w:cs="Arial"/>
          <w:b/>
          <w:spacing w:val="-2"/>
          <w:sz w:val="24"/>
          <w:szCs w:val="24"/>
        </w:rPr>
      </w:pPr>
    </w:p>
    <w:p w14:paraId="75A917FD" w14:textId="1F255945" w:rsidR="00C02FB3" w:rsidRPr="003B5800" w:rsidRDefault="00C02FB3" w:rsidP="003B5800">
      <w:pPr>
        <w:pStyle w:val="Heading2"/>
        <w:numPr>
          <w:ilvl w:val="0"/>
          <w:numId w:val="2"/>
        </w:numPr>
        <w:tabs>
          <w:tab w:val="num" w:pos="360"/>
        </w:tabs>
        <w:spacing w:before="2"/>
        <w:ind w:left="471" w:firstLine="0"/>
        <w:jc w:val="left"/>
        <w:rPr>
          <w:rFonts w:ascii="Arial" w:hAnsi="Arial" w:cs="Arial"/>
          <w:b w:val="0"/>
        </w:rPr>
      </w:pPr>
      <w:r w:rsidRPr="003B5800">
        <w:rPr>
          <w:rFonts w:ascii="Arial" w:hAnsi="Arial" w:cs="Arial"/>
          <w:b w:val="0"/>
          <w:spacing w:val="-2"/>
        </w:rPr>
        <w:t>Environment</w:t>
      </w:r>
    </w:p>
    <w:p w14:paraId="313FD9D5" w14:textId="77777777" w:rsidR="00C42893" w:rsidRPr="003B5800" w:rsidRDefault="00C42893" w:rsidP="003B5800">
      <w:pPr>
        <w:pStyle w:val="Heading2"/>
        <w:spacing w:before="2"/>
        <w:ind w:left="0"/>
        <w:jc w:val="left"/>
        <w:rPr>
          <w:rFonts w:ascii="Arial" w:hAnsi="Arial" w:cs="Arial"/>
          <w:b w:val="0"/>
        </w:rPr>
      </w:pPr>
    </w:p>
    <w:p w14:paraId="730A439C" w14:textId="77777777" w:rsidR="00C02FB3" w:rsidRPr="003B5800" w:rsidRDefault="00C02FB3" w:rsidP="003B5800">
      <w:pPr>
        <w:pStyle w:val="Heading2"/>
        <w:numPr>
          <w:ilvl w:val="0"/>
          <w:numId w:val="2"/>
        </w:numPr>
        <w:tabs>
          <w:tab w:val="num" w:pos="360"/>
        </w:tabs>
        <w:spacing w:line="480" w:lineRule="auto"/>
        <w:ind w:left="471" w:firstLine="0"/>
        <w:jc w:val="left"/>
        <w:rPr>
          <w:rFonts w:ascii="Arial" w:hAnsi="Arial" w:cs="Arial"/>
          <w:b w:val="0"/>
        </w:rPr>
      </w:pPr>
      <w:r w:rsidRPr="003B5800">
        <w:rPr>
          <w:rFonts w:ascii="Arial" w:hAnsi="Arial" w:cs="Arial"/>
          <w:b w:val="0"/>
        </w:rPr>
        <w:t>Sport</w:t>
      </w:r>
      <w:r w:rsidRPr="003B5800">
        <w:rPr>
          <w:rFonts w:ascii="Arial" w:hAnsi="Arial" w:cs="Arial"/>
          <w:b w:val="0"/>
          <w:spacing w:val="-7"/>
        </w:rPr>
        <w:t xml:space="preserve"> </w:t>
      </w:r>
      <w:r w:rsidRPr="003B5800">
        <w:rPr>
          <w:rFonts w:ascii="Arial" w:hAnsi="Arial" w:cs="Arial"/>
          <w:b w:val="0"/>
        </w:rPr>
        <w:t>and</w:t>
      </w:r>
      <w:r w:rsidRPr="003B5800">
        <w:rPr>
          <w:rFonts w:ascii="Arial" w:hAnsi="Arial" w:cs="Arial"/>
          <w:b w:val="0"/>
          <w:spacing w:val="-7"/>
        </w:rPr>
        <w:t xml:space="preserve"> </w:t>
      </w:r>
      <w:r w:rsidRPr="003B5800">
        <w:rPr>
          <w:rFonts w:ascii="Arial" w:hAnsi="Arial" w:cs="Arial"/>
          <w:b w:val="0"/>
        </w:rPr>
        <w:t>the</w:t>
      </w:r>
      <w:r w:rsidRPr="003B5800">
        <w:rPr>
          <w:rFonts w:ascii="Arial" w:hAnsi="Arial" w:cs="Arial"/>
          <w:b w:val="0"/>
          <w:spacing w:val="-6"/>
        </w:rPr>
        <w:t xml:space="preserve"> </w:t>
      </w:r>
      <w:r w:rsidRPr="003B5800">
        <w:rPr>
          <w:rFonts w:ascii="Arial" w:hAnsi="Arial" w:cs="Arial"/>
          <w:b w:val="0"/>
          <w:spacing w:val="-4"/>
        </w:rPr>
        <w:t>arts</w:t>
      </w:r>
    </w:p>
    <w:p w14:paraId="6BD0BDDE" w14:textId="77777777" w:rsidR="00C02FB3" w:rsidRPr="003B5800" w:rsidRDefault="00C02FB3" w:rsidP="003B5800">
      <w:pPr>
        <w:pStyle w:val="Heading2"/>
        <w:numPr>
          <w:ilvl w:val="0"/>
          <w:numId w:val="2"/>
        </w:numPr>
        <w:tabs>
          <w:tab w:val="num" w:pos="360"/>
        </w:tabs>
        <w:spacing w:before="1" w:line="360" w:lineRule="auto"/>
        <w:ind w:left="471" w:firstLine="0"/>
        <w:jc w:val="left"/>
        <w:rPr>
          <w:rFonts w:ascii="Arial" w:hAnsi="Arial" w:cs="Arial"/>
        </w:rPr>
      </w:pPr>
      <w:r w:rsidRPr="003B5800">
        <w:rPr>
          <w:rFonts w:ascii="Arial" w:hAnsi="Arial" w:cs="Arial"/>
          <w:b w:val="0"/>
        </w:rPr>
        <w:t xml:space="preserve">Agriculture, </w:t>
      </w:r>
      <w:proofErr w:type="gramStart"/>
      <w:r w:rsidRPr="003B5800">
        <w:rPr>
          <w:rFonts w:ascii="Arial" w:hAnsi="Arial" w:cs="Arial"/>
          <w:b w:val="0"/>
        </w:rPr>
        <w:t>forestry</w:t>
      </w:r>
      <w:proofErr w:type="gramEnd"/>
      <w:r w:rsidRPr="003B5800">
        <w:rPr>
          <w:rFonts w:ascii="Arial" w:hAnsi="Arial" w:cs="Arial"/>
          <w:b w:val="0"/>
        </w:rPr>
        <w:t xml:space="preserve"> and fishing</w:t>
      </w:r>
    </w:p>
    <w:p w14:paraId="4210D3C7" w14:textId="77777777" w:rsidR="00C02FB3" w:rsidRPr="003B5800" w:rsidRDefault="00C02FB3" w:rsidP="003B5800">
      <w:pPr>
        <w:pStyle w:val="BodyText"/>
        <w:spacing w:before="9"/>
        <w:rPr>
          <w:rFonts w:ascii="Arial" w:hAnsi="Arial" w:cs="Arial"/>
        </w:rPr>
      </w:pPr>
    </w:p>
    <w:p w14:paraId="1A9942F3" w14:textId="77777777" w:rsidR="00C02FB3" w:rsidRPr="003B5800" w:rsidRDefault="00C02FB3" w:rsidP="003B5800">
      <w:pPr>
        <w:pStyle w:val="BodyText"/>
        <w:spacing w:before="1"/>
        <w:ind w:left="471" w:right="1184"/>
        <w:rPr>
          <w:rFonts w:ascii="Arial" w:hAnsi="Arial" w:cs="Arial"/>
        </w:rPr>
      </w:pPr>
      <w:r w:rsidRPr="003B5800">
        <w:rPr>
          <w:rFonts w:ascii="Arial" w:hAnsi="Arial" w:cs="Arial"/>
        </w:rPr>
        <w:t xml:space="preserve">The Scottish Parliament is also able to examine devolved matters and debate a wide range of issues of interest and concern in Scotland, whether devolved or reserved. </w:t>
      </w:r>
    </w:p>
    <w:p w14:paraId="04AA2CF6" w14:textId="77777777" w:rsidR="00C02FB3" w:rsidRPr="003B5800" w:rsidRDefault="00C02FB3" w:rsidP="003B5800">
      <w:pPr>
        <w:rPr>
          <w:rFonts w:ascii="Arial" w:hAnsi="Arial" w:cs="Arial"/>
          <w:sz w:val="24"/>
          <w:szCs w:val="24"/>
        </w:rPr>
      </w:pPr>
    </w:p>
    <w:p w14:paraId="0F8B9430" w14:textId="77777777" w:rsidR="00C02FB3" w:rsidRPr="003B5800" w:rsidRDefault="00C02FB3" w:rsidP="003B5800">
      <w:pPr>
        <w:pStyle w:val="Heading2"/>
        <w:jc w:val="left"/>
        <w:rPr>
          <w:rFonts w:ascii="Arial" w:hAnsi="Arial" w:cs="Arial"/>
        </w:rPr>
      </w:pPr>
      <w:r w:rsidRPr="003B5800">
        <w:rPr>
          <w:rFonts w:ascii="Arial" w:hAnsi="Arial" w:cs="Arial"/>
        </w:rPr>
        <w:t>The UK Parliament and reserved powers</w:t>
      </w:r>
    </w:p>
    <w:p w14:paraId="78C0BF77" w14:textId="77777777" w:rsidR="00C02FB3" w:rsidRPr="003B5800" w:rsidRDefault="00C02FB3" w:rsidP="003B5800">
      <w:pPr>
        <w:pStyle w:val="BodyText"/>
        <w:spacing w:before="11"/>
        <w:rPr>
          <w:rFonts w:ascii="Arial" w:hAnsi="Arial" w:cs="Arial"/>
          <w:b/>
        </w:rPr>
      </w:pPr>
    </w:p>
    <w:p w14:paraId="157E23C1" w14:textId="77777777" w:rsidR="00C02FB3" w:rsidRPr="003B5800" w:rsidRDefault="00C02FB3" w:rsidP="003B5800">
      <w:pPr>
        <w:pStyle w:val="BodyText"/>
        <w:spacing w:before="1"/>
        <w:ind w:left="471" w:right="1184"/>
        <w:rPr>
          <w:rFonts w:ascii="Arial" w:hAnsi="Arial" w:cs="Arial"/>
        </w:rPr>
      </w:pPr>
      <w:r w:rsidRPr="003B5800">
        <w:rPr>
          <w:rFonts w:ascii="Arial" w:hAnsi="Arial" w:cs="Arial"/>
        </w:rPr>
        <w:t xml:space="preserve">With the advent of the Scottish Parliament in 1999, the UK Parliament retained authority over those sections of legislation not devolved to the Scottish Parliament, the Northern Ireland Assembly, and the Welsh Assembly. In terms of Scotland, authority over the following areas </w:t>
      </w:r>
      <w:proofErr w:type="gramStart"/>
      <w:r w:rsidRPr="003B5800">
        <w:rPr>
          <w:rFonts w:ascii="Arial" w:hAnsi="Arial" w:cs="Arial"/>
        </w:rPr>
        <w:t>are</w:t>
      </w:r>
      <w:proofErr w:type="gramEnd"/>
      <w:r w:rsidRPr="003B5800">
        <w:rPr>
          <w:rFonts w:ascii="Arial" w:hAnsi="Arial" w:cs="Arial"/>
        </w:rPr>
        <w:t xml:space="preserve"> retained by Westminster:</w:t>
      </w:r>
    </w:p>
    <w:p w14:paraId="232E6FC4" w14:textId="77777777" w:rsidR="00C02FB3" w:rsidRPr="003B5800" w:rsidRDefault="00C02FB3" w:rsidP="003B5800">
      <w:pPr>
        <w:pStyle w:val="BodyText"/>
        <w:spacing w:before="1"/>
        <w:ind w:left="471" w:right="1184"/>
        <w:rPr>
          <w:rFonts w:ascii="Arial" w:hAnsi="Arial" w:cs="Arial"/>
        </w:rPr>
      </w:pPr>
    </w:p>
    <w:p w14:paraId="47828513" w14:textId="77777777" w:rsidR="00C02FB3" w:rsidRPr="003B5800" w:rsidRDefault="00C02FB3" w:rsidP="003B5800">
      <w:pPr>
        <w:pStyle w:val="ListParagraph"/>
        <w:numPr>
          <w:ilvl w:val="0"/>
          <w:numId w:val="2"/>
        </w:numPr>
        <w:tabs>
          <w:tab w:val="left" w:pos="1192"/>
        </w:tabs>
        <w:spacing w:before="11"/>
        <w:ind w:right="1184"/>
        <w:rPr>
          <w:rFonts w:ascii="Arial" w:hAnsi="Arial" w:cs="Arial"/>
          <w:sz w:val="24"/>
          <w:szCs w:val="24"/>
        </w:rPr>
      </w:pPr>
      <w:r w:rsidRPr="003B5800">
        <w:rPr>
          <w:rFonts w:ascii="Arial" w:hAnsi="Arial" w:cs="Arial"/>
          <w:sz w:val="24"/>
          <w:szCs w:val="24"/>
        </w:rPr>
        <w:t xml:space="preserve">The constitution, which in the UK is a collection of documents, customs and practices which have evolved over centuries. </w:t>
      </w:r>
    </w:p>
    <w:p w14:paraId="7537FFB1" w14:textId="77777777" w:rsidR="00C02FB3" w:rsidRPr="003B5800" w:rsidRDefault="00C02FB3" w:rsidP="003B5800">
      <w:pPr>
        <w:pStyle w:val="ListParagraph"/>
        <w:tabs>
          <w:tab w:val="left" w:pos="1192"/>
        </w:tabs>
        <w:spacing w:before="11"/>
        <w:ind w:right="1184" w:firstLine="0"/>
        <w:rPr>
          <w:rFonts w:ascii="Arial" w:hAnsi="Arial" w:cs="Arial"/>
          <w:sz w:val="24"/>
          <w:szCs w:val="24"/>
        </w:rPr>
      </w:pPr>
    </w:p>
    <w:p w14:paraId="005928AF" w14:textId="77777777" w:rsidR="00C02FB3" w:rsidRPr="003B5800" w:rsidRDefault="00C02FB3" w:rsidP="003B5800">
      <w:pPr>
        <w:pStyle w:val="ListParagraph"/>
        <w:numPr>
          <w:ilvl w:val="0"/>
          <w:numId w:val="1"/>
        </w:numPr>
        <w:tabs>
          <w:tab w:val="left" w:pos="1192"/>
        </w:tabs>
        <w:spacing w:before="4"/>
        <w:ind w:right="1183"/>
        <w:rPr>
          <w:rFonts w:ascii="Arial" w:hAnsi="Arial" w:cs="Arial"/>
          <w:sz w:val="24"/>
          <w:szCs w:val="24"/>
        </w:rPr>
      </w:pPr>
      <w:proofErr w:type="spellStart"/>
      <w:r w:rsidRPr="003B5800">
        <w:rPr>
          <w:rFonts w:ascii="Arial" w:hAnsi="Arial" w:cs="Arial"/>
          <w:sz w:val="24"/>
          <w:szCs w:val="24"/>
        </w:rPr>
        <w:t>Defence</w:t>
      </w:r>
      <w:proofErr w:type="spellEnd"/>
      <w:r w:rsidRPr="003B5800">
        <w:rPr>
          <w:rFonts w:ascii="Arial" w:hAnsi="Arial" w:cs="Arial"/>
          <w:sz w:val="24"/>
          <w:szCs w:val="24"/>
        </w:rPr>
        <w:t xml:space="preserve"> and national security</w:t>
      </w:r>
    </w:p>
    <w:p w14:paraId="777A6CF4" w14:textId="77777777" w:rsidR="00C02FB3" w:rsidRPr="003B5800" w:rsidRDefault="00C02FB3" w:rsidP="003B5800">
      <w:pPr>
        <w:pStyle w:val="ListParagraph"/>
        <w:tabs>
          <w:tab w:val="left" w:pos="1192"/>
        </w:tabs>
        <w:spacing w:before="4"/>
        <w:ind w:right="1183" w:firstLine="0"/>
        <w:rPr>
          <w:rFonts w:ascii="Arial" w:hAnsi="Arial" w:cs="Arial"/>
          <w:sz w:val="24"/>
          <w:szCs w:val="24"/>
        </w:rPr>
      </w:pPr>
    </w:p>
    <w:p w14:paraId="2EB2D35D" w14:textId="77777777" w:rsidR="00C02FB3" w:rsidRPr="003B5800" w:rsidRDefault="00C02FB3" w:rsidP="003B5800">
      <w:pPr>
        <w:pStyle w:val="ListParagraph"/>
        <w:numPr>
          <w:ilvl w:val="0"/>
          <w:numId w:val="1"/>
        </w:numPr>
        <w:tabs>
          <w:tab w:val="left" w:pos="1192"/>
        </w:tabs>
        <w:ind w:right="1186"/>
        <w:rPr>
          <w:rFonts w:ascii="Arial" w:hAnsi="Arial" w:cs="Arial"/>
          <w:sz w:val="24"/>
          <w:szCs w:val="24"/>
        </w:rPr>
      </w:pPr>
      <w:r w:rsidRPr="003B5800">
        <w:rPr>
          <w:rFonts w:ascii="Arial" w:hAnsi="Arial" w:cs="Arial"/>
          <w:sz w:val="24"/>
          <w:szCs w:val="24"/>
        </w:rPr>
        <w:t xml:space="preserve">Economy </w:t>
      </w:r>
    </w:p>
    <w:p w14:paraId="1D636F47" w14:textId="77777777" w:rsidR="00C02FB3" w:rsidRPr="003B5800" w:rsidRDefault="00C02FB3" w:rsidP="003B5800">
      <w:pPr>
        <w:pStyle w:val="BodyText"/>
        <w:spacing w:before="1"/>
        <w:rPr>
          <w:rFonts w:ascii="Arial" w:hAnsi="Arial" w:cs="Arial"/>
        </w:rPr>
      </w:pPr>
    </w:p>
    <w:p w14:paraId="0AB0BE21" w14:textId="77777777" w:rsidR="00C02FB3" w:rsidRPr="003B5800" w:rsidRDefault="00C02FB3" w:rsidP="003B5800">
      <w:pPr>
        <w:pStyle w:val="ListParagraph"/>
        <w:numPr>
          <w:ilvl w:val="0"/>
          <w:numId w:val="1"/>
        </w:numPr>
        <w:tabs>
          <w:tab w:val="left" w:pos="1191"/>
          <w:tab w:val="left" w:pos="1192"/>
        </w:tabs>
        <w:ind w:hanging="361"/>
        <w:rPr>
          <w:rFonts w:ascii="Arial" w:hAnsi="Arial" w:cs="Arial"/>
          <w:sz w:val="24"/>
          <w:szCs w:val="24"/>
        </w:rPr>
      </w:pPr>
      <w:r w:rsidRPr="003B5800">
        <w:rPr>
          <w:rFonts w:ascii="Arial" w:hAnsi="Arial" w:cs="Arial"/>
          <w:sz w:val="24"/>
          <w:szCs w:val="24"/>
        </w:rPr>
        <w:t>Trade</w:t>
      </w:r>
      <w:r w:rsidRPr="003B5800">
        <w:rPr>
          <w:rFonts w:ascii="Arial" w:hAnsi="Arial" w:cs="Arial"/>
          <w:spacing w:val="-8"/>
          <w:sz w:val="24"/>
          <w:szCs w:val="24"/>
        </w:rPr>
        <w:t xml:space="preserve"> </w:t>
      </w:r>
      <w:r w:rsidRPr="003B5800">
        <w:rPr>
          <w:rFonts w:ascii="Arial" w:hAnsi="Arial" w:cs="Arial"/>
          <w:sz w:val="24"/>
          <w:szCs w:val="24"/>
        </w:rPr>
        <w:t>and</w:t>
      </w:r>
      <w:r w:rsidRPr="003B5800">
        <w:rPr>
          <w:rFonts w:ascii="Arial" w:hAnsi="Arial" w:cs="Arial"/>
          <w:spacing w:val="-8"/>
          <w:sz w:val="24"/>
          <w:szCs w:val="24"/>
        </w:rPr>
        <w:t xml:space="preserve"> </w:t>
      </w:r>
      <w:r w:rsidRPr="003B5800">
        <w:rPr>
          <w:rFonts w:ascii="Arial" w:hAnsi="Arial" w:cs="Arial"/>
          <w:sz w:val="24"/>
          <w:szCs w:val="24"/>
        </w:rPr>
        <w:t>industry</w:t>
      </w:r>
    </w:p>
    <w:p w14:paraId="397AA878" w14:textId="77777777" w:rsidR="00C02FB3" w:rsidRPr="003B5800" w:rsidRDefault="00C02FB3" w:rsidP="003B5800">
      <w:pPr>
        <w:pStyle w:val="ListParagraph"/>
        <w:rPr>
          <w:rFonts w:ascii="Arial" w:hAnsi="Arial" w:cs="Arial"/>
          <w:sz w:val="24"/>
          <w:szCs w:val="24"/>
        </w:rPr>
      </w:pPr>
    </w:p>
    <w:p w14:paraId="319DCB14" w14:textId="77777777" w:rsidR="00C02FB3" w:rsidRPr="003B5800" w:rsidRDefault="00C02FB3" w:rsidP="003B5800">
      <w:pPr>
        <w:pStyle w:val="ListParagraph"/>
        <w:numPr>
          <w:ilvl w:val="0"/>
          <w:numId w:val="1"/>
        </w:numPr>
        <w:tabs>
          <w:tab w:val="left" w:pos="1192"/>
        </w:tabs>
        <w:ind w:right="1186"/>
        <w:rPr>
          <w:rFonts w:ascii="Arial" w:hAnsi="Arial" w:cs="Arial"/>
          <w:sz w:val="24"/>
          <w:szCs w:val="24"/>
        </w:rPr>
      </w:pPr>
      <w:r w:rsidRPr="003B5800">
        <w:rPr>
          <w:rFonts w:ascii="Arial" w:hAnsi="Arial" w:cs="Arial"/>
          <w:sz w:val="24"/>
          <w:szCs w:val="24"/>
        </w:rPr>
        <w:t>Transport (not devolved to Scotland) such as transport</w:t>
      </w:r>
      <w:r w:rsidRPr="003B5800">
        <w:rPr>
          <w:rFonts w:ascii="Arial" w:hAnsi="Arial" w:cs="Arial"/>
          <w:spacing w:val="40"/>
          <w:sz w:val="24"/>
          <w:szCs w:val="24"/>
        </w:rPr>
        <w:t xml:space="preserve"> </w:t>
      </w:r>
      <w:r w:rsidRPr="003B5800">
        <w:rPr>
          <w:rFonts w:ascii="Arial" w:hAnsi="Arial" w:cs="Arial"/>
          <w:sz w:val="24"/>
          <w:szCs w:val="24"/>
        </w:rPr>
        <w:t xml:space="preserve">safety and </w:t>
      </w:r>
      <w:proofErr w:type="gramStart"/>
      <w:r w:rsidRPr="003B5800">
        <w:rPr>
          <w:rFonts w:ascii="Arial" w:hAnsi="Arial" w:cs="Arial"/>
          <w:sz w:val="24"/>
          <w:szCs w:val="24"/>
        </w:rPr>
        <w:t>regulation</w:t>
      </w:r>
      <w:proofErr w:type="gramEnd"/>
    </w:p>
    <w:p w14:paraId="0D847CAF" w14:textId="77777777" w:rsidR="00C02FB3" w:rsidRPr="003B5800" w:rsidRDefault="00C02FB3" w:rsidP="003B5800">
      <w:pPr>
        <w:pStyle w:val="BodyText"/>
        <w:spacing w:before="3"/>
        <w:rPr>
          <w:rFonts w:ascii="Arial" w:hAnsi="Arial" w:cs="Arial"/>
        </w:rPr>
      </w:pPr>
    </w:p>
    <w:p w14:paraId="2EB004D1" w14:textId="77777777" w:rsidR="00C02FB3" w:rsidRPr="003B5800" w:rsidRDefault="00C02FB3" w:rsidP="003B5800">
      <w:pPr>
        <w:pStyle w:val="ListParagraph"/>
        <w:numPr>
          <w:ilvl w:val="0"/>
          <w:numId w:val="1"/>
        </w:numPr>
        <w:tabs>
          <w:tab w:val="left" w:pos="1192"/>
        </w:tabs>
        <w:spacing w:before="3"/>
        <w:ind w:right="1184"/>
        <w:rPr>
          <w:rFonts w:ascii="Arial" w:hAnsi="Arial" w:cs="Arial"/>
          <w:sz w:val="24"/>
          <w:szCs w:val="24"/>
        </w:rPr>
      </w:pPr>
      <w:r w:rsidRPr="003B5800">
        <w:rPr>
          <w:rFonts w:ascii="Arial" w:hAnsi="Arial" w:cs="Arial"/>
          <w:sz w:val="24"/>
          <w:szCs w:val="24"/>
        </w:rPr>
        <w:t xml:space="preserve">Social Security (responsibility for some benefits have now been devolved to the Scottish Parliament and are delivered by </w:t>
      </w:r>
      <w:hyperlink r:id="rId7" w:history="1">
        <w:r w:rsidRPr="003B5800">
          <w:rPr>
            <w:rStyle w:val="Hyperlink"/>
            <w:rFonts w:ascii="Arial" w:hAnsi="Arial" w:cs="Arial"/>
            <w:sz w:val="24"/>
            <w:szCs w:val="24"/>
          </w:rPr>
          <w:t>Social Security Scotland</w:t>
        </w:r>
      </w:hyperlink>
      <w:r w:rsidRPr="003B5800">
        <w:rPr>
          <w:rFonts w:ascii="Arial" w:hAnsi="Arial" w:cs="Arial"/>
          <w:sz w:val="24"/>
          <w:szCs w:val="24"/>
        </w:rPr>
        <w:t>)</w:t>
      </w:r>
    </w:p>
    <w:p w14:paraId="31B58517" w14:textId="77777777" w:rsidR="00C02FB3" w:rsidRPr="003B5800" w:rsidRDefault="00C02FB3" w:rsidP="003B5800">
      <w:pPr>
        <w:pStyle w:val="BodyText"/>
        <w:spacing w:before="2"/>
        <w:rPr>
          <w:rFonts w:ascii="Arial" w:hAnsi="Arial" w:cs="Arial"/>
        </w:rPr>
      </w:pPr>
    </w:p>
    <w:p w14:paraId="1BBFA1EB" w14:textId="77777777" w:rsidR="00C02FB3" w:rsidRPr="003B5800" w:rsidRDefault="00C02FB3" w:rsidP="003B5800">
      <w:pPr>
        <w:pStyle w:val="ListParagraph"/>
        <w:numPr>
          <w:ilvl w:val="0"/>
          <w:numId w:val="1"/>
        </w:numPr>
        <w:tabs>
          <w:tab w:val="left" w:pos="1191"/>
          <w:tab w:val="left" w:pos="1192"/>
        </w:tabs>
        <w:ind w:hanging="361"/>
        <w:rPr>
          <w:rFonts w:ascii="Arial" w:hAnsi="Arial" w:cs="Arial"/>
          <w:sz w:val="24"/>
          <w:szCs w:val="24"/>
        </w:rPr>
      </w:pPr>
      <w:r w:rsidRPr="003B5800">
        <w:rPr>
          <w:rFonts w:ascii="Arial" w:hAnsi="Arial" w:cs="Arial"/>
          <w:sz w:val="24"/>
          <w:szCs w:val="24"/>
        </w:rPr>
        <w:t>TV</w:t>
      </w:r>
      <w:r w:rsidRPr="003B5800">
        <w:rPr>
          <w:rFonts w:ascii="Arial" w:hAnsi="Arial" w:cs="Arial"/>
          <w:spacing w:val="-9"/>
          <w:sz w:val="24"/>
          <w:szCs w:val="24"/>
        </w:rPr>
        <w:t xml:space="preserve"> </w:t>
      </w:r>
      <w:r w:rsidRPr="003B5800">
        <w:rPr>
          <w:rFonts w:ascii="Arial" w:hAnsi="Arial" w:cs="Arial"/>
          <w:sz w:val="24"/>
          <w:szCs w:val="24"/>
        </w:rPr>
        <w:t>and</w:t>
      </w:r>
      <w:r w:rsidRPr="003B5800">
        <w:rPr>
          <w:rFonts w:ascii="Arial" w:hAnsi="Arial" w:cs="Arial"/>
          <w:spacing w:val="-7"/>
          <w:sz w:val="24"/>
          <w:szCs w:val="24"/>
        </w:rPr>
        <w:t xml:space="preserve"> </w:t>
      </w:r>
      <w:r w:rsidRPr="003B5800">
        <w:rPr>
          <w:rFonts w:ascii="Arial" w:hAnsi="Arial" w:cs="Arial"/>
          <w:sz w:val="24"/>
          <w:szCs w:val="24"/>
        </w:rPr>
        <w:t>radio</w:t>
      </w:r>
      <w:r w:rsidRPr="003B5800">
        <w:rPr>
          <w:rFonts w:ascii="Arial" w:hAnsi="Arial" w:cs="Arial"/>
          <w:spacing w:val="-9"/>
          <w:sz w:val="24"/>
          <w:szCs w:val="24"/>
        </w:rPr>
        <w:t xml:space="preserve"> </w:t>
      </w:r>
      <w:r w:rsidRPr="003B5800">
        <w:rPr>
          <w:rFonts w:ascii="Arial" w:hAnsi="Arial" w:cs="Arial"/>
          <w:sz w:val="24"/>
          <w:szCs w:val="24"/>
        </w:rPr>
        <w:t>broadcasting</w:t>
      </w:r>
    </w:p>
    <w:p w14:paraId="21B370B1" w14:textId="77777777" w:rsidR="00C02FB3" w:rsidRPr="003B5800" w:rsidRDefault="00C02FB3" w:rsidP="003B5800">
      <w:pPr>
        <w:pStyle w:val="ListParagraph"/>
        <w:tabs>
          <w:tab w:val="left" w:pos="1191"/>
          <w:tab w:val="left" w:pos="1192"/>
        </w:tabs>
        <w:ind w:firstLine="0"/>
        <w:rPr>
          <w:rFonts w:ascii="Arial" w:hAnsi="Arial" w:cs="Arial"/>
          <w:sz w:val="24"/>
          <w:szCs w:val="24"/>
        </w:rPr>
      </w:pPr>
    </w:p>
    <w:p w14:paraId="7BF6F23D" w14:textId="77777777" w:rsidR="00C02FB3" w:rsidRPr="003B5800" w:rsidRDefault="00C02FB3" w:rsidP="003B5800">
      <w:pPr>
        <w:pStyle w:val="ListParagraph"/>
        <w:numPr>
          <w:ilvl w:val="0"/>
          <w:numId w:val="1"/>
        </w:numPr>
        <w:tabs>
          <w:tab w:val="left" w:pos="1191"/>
          <w:tab w:val="left" w:pos="1192"/>
        </w:tabs>
        <w:ind w:hanging="361"/>
        <w:rPr>
          <w:rFonts w:ascii="Arial" w:hAnsi="Arial" w:cs="Arial"/>
          <w:sz w:val="24"/>
          <w:szCs w:val="24"/>
        </w:rPr>
      </w:pPr>
      <w:r w:rsidRPr="003B5800">
        <w:rPr>
          <w:rFonts w:ascii="Arial" w:hAnsi="Arial" w:cs="Arial"/>
          <w:sz w:val="24"/>
          <w:szCs w:val="24"/>
        </w:rPr>
        <w:t>Foreign affairs</w:t>
      </w:r>
    </w:p>
    <w:p w14:paraId="4BB81A5A" w14:textId="77777777" w:rsidR="00C02FB3" w:rsidRPr="003B5800" w:rsidRDefault="00C02FB3" w:rsidP="003B5800">
      <w:pPr>
        <w:pStyle w:val="BodyText"/>
        <w:spacing w:before="10"/>
        <w:rPr>
          <w:rFonts w:ascii="Arial" w:hAnsi="Arial" w:cs="Arial"/>
        </w:rPr>
      </w:pPr>
    </w:p>
    <w:p w14:paraId="70D7C2D6" w14:textId="77777777" w:rsidR="00C02FB3" w:rsidRPr="003B5800" w:rsidRDefault="00C02FB3" w:rsidP="003B5800">
      <w:pPr>
        <w:pStyle w:val="ListParagraph"/>
        <w:numPr>
          <w:ilvl w:val="0"/>
          <w:numId w:val="1"/>
        </w:numPr>
        <w:tabs>
          <w:tab w:val="left" w:pos="1191"/>
          <w:tab w:val="left" w:pos="1192"/>
        </w:tabs>
        <w:ind w:hanging="361"/>
        <w:rPr>
          <w:rFonts w:ascii="Arial" w:hAnsi="Arial" w:cs="Arial"/>
          <w:sz w:val="24"/>
          <w:szCs w:val="24"/>
        </w:rPr>
      </w:pPr>
      <w:r w:rsidRPr="003B5800">
        <w:rPr>
          <w:rFonts w:ascii="Arial" w:hAnsi="Arial" w:cs="Arial"/>
          <w:sz w:val="24"/>
          <w:szCs w:val="24"/>
        </w:rPr>
        <w:t>Immigration</w:t>
      </w:r>
      <w:r w:rsidRPr="003B5800">
        <w:rPr>
          <w:rFonts w:ascii="Arial" w:hAnsi="Arial" w:cs="Arial"/>
          <w:spacing w:val="-9"/>
          <w:sz w:val="24"/>
          <w:szCs w:val="24"/>
        </w:rPr>
        <w:t xml:space="preserve"> </w:t>
      </w:r>
      <w:r w:rsidRPr="003B5800">
        <w:rPr>
          <w:rFonts w:ascii="Arial" w:hAnsi="Arial" w:cs="Arial"/>
          <w:sz w:val="24"/>
          <w:szCs w:val="24"/>
        </w:rPr>
        <w:t>and</w:t>
      </w:r>
      <w:r w:rsidRPr="003B5800">
        <w:rPr>
          <w:rFonts w:ascii="Arial" w:hAnsi="Arial" w:cs="Arial"/>
          <w:spacing w:val="-9"/>
          <w:sz w:val="24"/>
          <w:szCs w:val="24"/>
        </w:rPr>
        <w:t xml:space="preserve"> </w:t>
      </w:r>
      <w:r w:rsidRPr="003B5800">
        <w:rPr>
          <w:rFonts w:ascii="Arial" w:hAnsi="Arial" w:cs="Arial"/>
          <w:sz w:val="24"/>
          <w:szCs w:val="24"/>
        </w:rPr>
        <w:t>nationality</w:t>
      </w:r>
    </w:p>
    <w:p w14:paraId="205A8B46" w14:textId="77777777" w:rsidR="00C02FB3" w:rsidRPr="003B5800" w:rsidRDefault="00C02FB3" w:rsidP="003B5800">
      <w:pPr>
        <w:pStyle w:val="ListParagraph"/>
        <w:tabs>
          <w:tab w:val="left" w:pos="1191"/>
          <w:tab w:val="left" w:pos="1192"/>
        </w:tabs>
        <w:ind w:firstLine="0"/>
        <w:rPr>
          <w:rFonts w:ascii="Arial" w:hAnsi="Arial" w:cs="Arial"/>
          <w:sz w:val="24"/>
          <w:szCs w:val="24"/>
        </w:rPr>
      </w:pPr>
    </w:p>
    <w:p w14:paraId="4C9DB5E6" w14:textId="77777777" w:rsidR="00C02FB3" w:rsidRPr="003B5800" w:rsidRDefault="00C02FB3" w:rsidP="003B5800">
      <w:pPr>
        <w:pStyle w:val="ListParagraph"/>
        <w:numPr>
          <w:ilvl w:val="0"/>
          <w:numId w:val="1"/>
        </w:numPr>
        <w:tabs>
          <w:tab w:val="left" w:pos="1191"/>
          <w:tab w:val="left" w:pos="1192"/>
        </w:tabs>
        <w:ind w:hanging="361"/>
        <w:rPr>
          <w:rFonts w:ascii="Arial" w:hAnsi="Arial" w:cs="Arial"/>
          <w:sz w:val="24"/>
          <w:szCs w:val="24"/>
        </w:rPr>
      </w:pPr>
      <w:r w:rsidRPr="003B5800">
        <w:rPr>
          <w:rFonts w:ascii="Arial" w:hAnsi="Arial" w:cs="Arial"/>
          <w:sz w:val="24"/>
          <w:szCs w:val="24"/>
        </w:rPr>
        <w:t xml:space="preserve">Energy policy </w:t>
      </w:r>
    </w:p>
    <w:p w14:paraId="2168AF34" w14:textId="77777777" w:rsidR="005D5F49" w:rsidRPr="003B5800" w:rsidRDefault="005D5F49" w:rsidP="003B5800">
      <w:pPr>
        <w:rPr>
          <w:rFonts w:ascii="Arial" w:hAnsi="Arial" w:cs="Arial"/>
          <w:sz w:val="24"/>
          <w:szCs w:val="24"/>
        </w:rPr>
      </w:pPr>
    </w:p>
    <w:sectPr w:rsidR="005D5F49" w:rsidRPr="003B5800"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C7133"/>
    <w:multiLevelType w:val="hybridMultilevel"/>
    <w:tmpl w:val="C5224580"/>
    <w:lvl w:ilvl="0" w:tplc="08090001">
      <w:start w:val="1"/>
      <w:numFmt w:val="bullet"/>
      <w:lvlText w:val=""/>
      <w:lvlJc w:val="left"/>
      <w:pPr>
        <w:ind w:left="1191" w:hanging="360"/>
      </w:pPr>
      <w:rPr>
        <w:rFonts w:ascii="Symbol" w:hAnsi="Symbol"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1" w15:restartNumberingAfterBreak="0">
    <w:nsid w:val="5D7515C9"/>
    <w:multiLevelType w:val="hybridMultilevel"/>
    <w:tmpl w:val="C486F46E"/>
    <w:lvl w:ilvl="0" w:tplc="D55222FE">
      <w:numFmt w:val="bullet"/>
      <w:lvlText w:val=""/>
      <w:lvlJc w:val="left"/>
      <w:pPr>
        <w:ind w:left="1191" w:hanging="360"/>
      </w:pPr>
      <w:rPr>
        <w:rFonts w:ascii="Symbol" w:eastAsia="Symbol" w:hAnsi="Symbol" w:cs="Symbol" w:hint="default"/>
        <w:b w:val="0"/>
        <w:bCs w:val="0"/>
        <w:i w:val="0"/>
        <w:iCs w:val="0"/>
        <w:w w:val="100"/>
        <w:sz w:val="24"/>
        <w:szCs w:val="24"/>
        <w:lang w:val="en-US" w:eastAsia="en-US" w:bidi="ar-SA"/>
      </w:rPr>
    </w:lvl>
    <w:lvl w:ilvl="1" w:tplc="BE2C112A">
      <w:numFmt w:val="bullet"/>
      <w:lvlText w:val=""/>
      <w:lvlJc w:val="left"/>
      <w:pPr>
        <w:ind w:left="1551" w:hanging="360"/>
      </w:pPr>
      <w:rPr>
        <w:rFonts w:ascii="Symbol" w:eastAsia="Symbol" w:hAnsi="Symbol" w:cs="Symbol" w:hint="default"/>
        <w:b w:val="0"/>
        <w:bCs w:val="0"/>
        <w:i w:val="0"/>
        <w:iCs w:val="0"/>
        <w:w w:val="100"/>
        <w:sz w:val="24"/>
        <w:szCs w:val="24"/>
        <w:lang w:val="en-US" w:eastAsia="en-US" w:bidi="ar-SA"/>
      </w:rPr>
    </w:lvl>
    <w:lvl w:ilvl="2" w:tplc="CE66B9B4">
      <w:numFmt w:val="bullet"/>
      <w:lvlText w:val="•"/>
      <w:lvlJc w:val="left"/>
      <w:pPr>
        <w:ind w:left="2629" w:hanging="360"/>
      </w:pPr>
      <w:rPr>
        <w:rFonts w:hint="default"/>
        <w:lang w:val="en-US" w:eastAsia="en-US" w:bidi="ar-SA"/>
      </w:rPr>
    </w:lvl>
    <w:lvl w:ilvl="3" w:tplc="AB00C5A2">
      <w:numFmt w:val="bullet"/>
      <w:lvlText w:val="•"/>
      <w:lvlJc w:val="left"/>
      <w:pPr>
        <w:ind w:left="3698" w:hanging="360"/>
      </w:pPr>
      <w:rPr>
        <w:rFonts w:hint="default"/>
        <w:lang w:val="en-US" w:eastAsia="en-US" w:bidi="ar-SA"/>
      </w:rPr>
    </w:lvl>
    <w:lvl w:ilvl="4" w:tplc="88968182">
      <w:numFmt w:val="bullet"/>
      <w:lvlText w:val="•"/>
      <w:lvlJc w:val="left"/>
      <w:pPr>
        <w:ind w:left="4768" w:hanging="360"/>
      </w:pPr>
      <w:rPr>
        <w:rFonts w:hint="default"/>
        <w:lang w:val="en-US" w:eastAsia="en-US" w:bidi="ar-SA"/>
      </w:rPr>
    </w:lvl>
    <w:lvl w:ilvl="5" w:tplc="C26EA2F0">
      <w:numFmt w:val="bullet"/>
      <w:lvlText w:val="•"/>
      <w:lvlJc w:val="left"/>
      <w:pPr>
        <w:ind w:left="5837" w:hanging="360"/>
      </w:pPr>
      <w:rPr>
        <w:rFonts w:hint="default"/>
        <w:lang w:val="en-US" w:eastAsia="en-US" w:bidi="ar-SA"/>
      </w:rPr>
    </w:lvl>
    <w:lvl w:ilvl="6" w:tplc="72C2E850">
      <w:numFmt w:val="bullet"/>
      <w:lvlText w:val="•"/>
      <w:lvlJc w:val="left"/>
      <w:pPr>
        <w:ind w:left="6906" w:hanging="360"/>
      </w:pPr>
      <w:rPr>
        <w:rFonts w:hint="default"/>
        <w:lang w:val="en-US" w:eastAsia="en-US" w:bidi="ar-SA"/>
      </w:rPr>
    </w:lvl>
    <w:lvl w:ilvl="7" w:tplc="ED44FE66">
      <w:numFmt w:val="bullet"/>
      <w:lvlText w:val="•"/>
      <w:lvlJc w:val="left"/>
      <w:pPr>
        <w:ind w:left="7976" w:hanging="360"/>
      </w:pPr>
      <w:rPr>
        <w:rFonts w:hint="default"/>
        <w:lang w:val="en-US" w:eastAsia="en-US" w:bidi="ar-SA"/>
      </w:rPr>
    </w:lvl>
    <w:lvl w:ilvl="8" w:tplc="2370FFBE">
      <w:numFmt w:val="bullet"/>
      <w:lvlText w:val="•"/>
      <w:lvlJc w:val="left"/>
      <w:pPr>
        <w:ind w:left="9045" w:hanging="360"/>
      </w:pPr>
      <w:rPr>
        <w:rFonts w:hint="default"/>
        <w:lang w:val="en-US" w:eastAsia="en-US" w:bidi="ar-SA"/>
      </w:rPr>
    </w:lvl>
  </w:abstractNum>
  <w:num w:numId="1" w16cid:durableId="1498883226">
    <w:abstractNumId w:val="1"/>
  </w:num>
  <w:num w:numId="2" w16cid:durableId="179092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3B5800"/>
    <w:rsid w:val="005D5F49"/>
    <w:rsid w:val="00A36549"/>
    <w:rsid w:val="00C02FB3"/>
    <w:rsid w:val="00C3740E"/>
    <w:rsid w:val="00C42893"/>
    <w:rsid w:val="00CB60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A90E"/>
  <w15:chartTrackingRefBased/>
  <w15:docId w15:val="{9BCC6292-80B5-45A2-B906-EF8C9BD5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FB3"/>
    <w:pPr>
      <w:widowControl w:val="0"/>
      <w:autoSpaceDE w:val="0"/>
      <w:autoSpaceDN w:val="0"/>
      <w:spacing w:after="0" w:line="240" w:lineRule="auto"/>
    </w:pPr>
    <w:rPr>
      <w:rFonts w:ascii="Verdana" w:eastAsia="Verdana" w:hAnsi="Verdana" w:cs="Verdana"/>
      <w:kern w:val="0"/>
      <w:lang w:val="en-US"/>
      <w14:ligatures w14:val="none"/>
    </w:rPr>
  </w:style>
  <w:style w:type="paragraph" w:styleId="Heading2">
    <w:name w:val="heading 2"/>
    <w:basedOn w:val="Normal"/>
    <w:link w:val="Heading2Char"/>
    <w:uiPriority w:val="9"/>
    <w:unhideWhenUsed/>
    <w:qFormat/>
    <w:rsid w:val="00C02FB3"/>
    <w:pPr>
      <w:ind w:left="47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FB3"/>
    <w:rPr>
      <w:rFonts w:ascii="Verdana" w:eastAsia="Verdana" w:hAnsi="Verdana" w:cs="Verdana"/>
      <w:b/>
      <w:bCs/>
      <w:kern w:val="0"/>
      <w:sz w:val="24"/>
      <w:szCs w:val="24"/>
      <w:lang w:val="en-US"/>
      <w14:ligatures w14:val="none"/>
    </w:rPr>
  </w:style>
  <w:style w:type="paragraph" w:styleId="BodyText">
    <w:name w:val="Body Text"/>
    <w:basedOn w:val="Normal"/>
    <w:link w:val="BodyTextChar"/>
    <w:uiPriority w:val="1"/>
    <w:qFormat/>
    <w:rsid w:val="00C02FB3"/>
    <w:rPr>
      <w:sz w:val="24"/>
      <w:szCs w:val="24"/>
    </w:rPr>
  </w:style>
  <w:style w:type="character" w:customStyle="1" w:styleId="BodyTextChar">
    <w:name w:val="Body Text Char"/>
    <w:basedOn w:val="DefaultParagraphFont"/>
    <w:link w:val="BodyText"/>
    <w:uiPriority w:val="1"/>
    <w:rsid w:val="00C02FB3"/>
    <w:rPr>
      <w:rFonts w:ascii="Verdana" w:eastAsia="Verdana" w:hAnsi="Verdana" w:cs="Verdana"/>
      <w:kern w:val="0"/>
      <w:sz w:val="24"/>
      <w:szCs w:val="24"/>
      <w:lang w:val="en-US"/>
      <w14:ligatures w14:val="none"/>
    </w:rPr>
  </w:style>
  <w:style w:type="paragraph" w:styleId="ListParagraph">
    <w:name w:val="List Paragraph"/>
    <w:basedOn w:val="Normal"/>
    <w:uiPriority w:val="1"/>
    <w:qFormat/>
    <w:rsid w:val="00C02FB3"/>
    <w:pPr>
      <w:ind w:left="1191" w:hanging="360"/>
    </w:pPr>
  </w:style>
  <w:style w:type="character" w:styleId="Hyperlink">
    <w:name w:val="Hyperlink"/>
    <w:basedOn w:val="DefaultParagraphFont"/>
    <w:uiPriority w:val="99"/>
    <w:unhideWhenUsed/>
    <w:rsid w:val="00C02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cialsecurity.gov.scot/benefi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6/11/contents/enacted" TargetMode="External"/><Relationship Id="rId5" Type="http://schemas.openxmlformats.org/officeDocument/2006/relationships/hyperlink" Target="http://www.opsi.gov.uk/acts/acts1998/19980046.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2</cp:revision>
  <dcterms:created xsi:type="dcterms:W3CDTF">2023-06-23T16:11:00Z</dcterms:created>
  <dcterms:modified xsi:type="dcterms:W3CDTF">2023-06-23T16:11:00Z</dcterms:modified>
</cp:coreProperties>
</file>